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E" w:rsidRDefault="00700035" w:rsidP="007000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VšĮ „Vilties Akimirka“</w:t>
      </w:r>
    </w:p>
    <w:p w:rsidR="00700035" w:rsidRDefault="00700035" w:rsidP="007000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Lankytojų įgalinimo vertinimo rezultatai</w:t>
      </w:r>
      <w:r w:rsidR="00DF30E2">
        <w:rPr>
          <w:rFonts w:ascii="Times New Roman" w:hAnsi="Times New Roman" w:cs="Times New Roman"/>
          <w:sz w:val="32"/>
          <w:szCs w:val="32"/>
        </w:rPr>
        <w:t xml:space="preserve"> 2018m.</w:t>
      </w:r>
    </w:p>
    <w:p w:rsidR="00700035" w:rsidRDefault="00700035" w:rsidP="007000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00035" w:rsidRDefault="00700035" w:rsidP="007000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0035">
        <w:rPr>
          <w:rFonts w:ascii="Times New Roman" w:hAnsi="Times New Roman" w:cs="Times New Roman"/>
          <w:b/>
          <w:i/>
          <w:sz w:val="24"/>
          <w:szCs w:val="24"/>
        </w:rPr>
        <w:t>29 kriterijus. Socialinių paslaugų teikėjas taiko specifines priemones, kad personalas ir paslaugų vartotojai suprastų, didintų ir gerintų paslaugų gavėjų įgalinimą.</w:t>
      </w:r>
    </w:p>
    <w:p w:rsidR="00700035" w:rsidRPr="00700035" w:rsidRDefault="00700035" w:rsidP="007000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Rodiklis. </w:t>
      </w:r>
      <w:r w:rsidR="00683543">
        <w:rPr>
          <w:rFonts w:ascii="Times New Roman" w:hAnsi="Times New Roman" w:cs="Times New Roman"/>
          <w:b/>
          <w:i/>
          <w:sz w:val="24"/>
          <w:szCs w:val="24"/>
        </w:rPr>
        <w:t>Lankytojų ir jų tėvų</w:t>
      </w:r>
      <w:r w:rsidR="001D04A4">
        <w:rPr>
          <w:rFonts w:ascii="Times New Roman" w:hAnsi="Times New Roman" w:cs="Times New Roman"/>
          <w:b/>
          <w:i/>
          <w:sz w:val="24"/>
          <w:szCs w:val="24"/>
        </w:rPr>
        <w:t xml:space="preserve"> 2018 m.</w:t>
      </w:r>
      <w:r w:rsidR="001E48F2" w:rsidRPr="00EB10D0">
        <w:rPr>
          <w:rFonts w:ascii="Times New Roman" w:hAnsi="Times New Roman" w:cs="Times New Roman"/>
          <w:b/>
          <w:i/>
          <w:sz w:val="24"/>
          <w:szCs w:val="24"/>
        </w:rPr>
        <w:t xml:space="preserve"> įgalinimo rezultatų vertinimo 10 balų skalėje santykis.</w:t>
      </w:r>
    </w:p>
    <w:p w:rsidR="001E48F2" w:rsidRDefault="001E48F2" w:rsidP="001E48F2">
      <w:pPr>
        <w:tabs>
          <w:tab w:val="left" w:pos="4470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E48F2">
        <w:rPr>
          <w:rFonts w:ascii="Times New Roman" w:eastAsia="Calibri" w:hAnsi="Times New Roman" w:cs="Times New Roman"/>
          <w:kern w:val="1"/>
          <w:sz w:val="24"/>
          <w:szCs w:val="24"/>
        </w:rPr>
        <w:t>Lengvesnę negalią turinčių lankytojų ir jų tėvų įgalinimo vertinimo rezultatai.</w:t>
      </w:r>
    </w:p>
    <w:p w:rsidR="001E48F2" w:rsidRPr="001E48F2" w:rsidRDefault="001E48F2" w:rsidP="001E48F2">
      <w:pPr>
        <w:tabs>
          <w:tab w:val="left" w:pos="4470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686425" cy="332422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48F2" w:rsidRDefault="00FF6C66" w:rsidP="00E813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0E2">
        <w:rPr>
          <w:rFonts w:ascii="Times New Roman" w:eastAsia="Calibri" w:hAnsi="Times New Roman" w:cs="Times New Roman"/>
          <w:sz w:val="24"/>
          <w:szCs w:val="24"/>
        </w:rPr>
        <w:t xml:space="preserve">         Diagramoje pavaizduoti </w:t>
      </w:r>
      <w:r>
        <w:rPr>
          <w:rFonts w:ascii="Times New Roman" w:eastAsia="Calibri" w:hAnsi="Times New Roman" w:cs="Times New Roman"/>
          <w:sz w:val="24"/>
          <w:szCs w:val="24"/>
        </w:rPr>
        <w:t>dienos užimtumo centro lankytojų ir jų tėvų apklausos būdu gauti įgalinimo rezultatai dešimtbalėje skalėje. Geriausiai įvertintas bendradarbiavimo/paramos įgalinimo komponentas, lankytojų nuomone, dienos užimtumo centre jie gali siekti savo asmeninių tikslų, yra išklausomi, atsižvelgiama į jų nuomonę</w:t>
      </w:r>
      <w:r w:rsidRPr="00FF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ir yra skatinami veikti savarankiškai. </w:t>
      </w:r>
      <w:r w:rsidR="000F544B">
        <w:rPr>
          <w:rFonts w:ascii="Times New Roman" w:eastAsia="Calibri" w:hAnsi="Times New Roman" w:cs="Times New Roman"/>
          <w:sz w:val="24"/>
          <w:szCs w:val="24"/>
        </w:rPr>
        <w:t>2019</w:t>
      </w:r>
      <w:r w:rsidR="00E8132B">
        <w:rPr>
          <w:rFonts w:ascii="Times New Roman" w:eastAsia="Calibri" w:hAnsi="Times New Roman" w:cs="Times New Roman"/>
          <w:sz w:val="24"/>
          <w:szCs w:val="24"/>
        </w:rPr>
        <w:t xml:space="preserve"> metams numatoma daugiau mokomųjų renginių</w:t>
      </w:r>
      <w:r w:rsidR="0003252A">
        <w:rPr>
          <w:rFonts w:ascii="Times New Roman" w:eastAsia="Calibri" w:hAnsi="Times New Roman" w:cs="Times New Roman"/>
          <w:sz w:val="24"/>
          <w:szCs w:val="24"/>
        </w:rPr>
        <w:t xml:space="preserve"> lankytojams ir darbuotojams</w:t>
      </w:r>
      <w:r w:rsidR="00E81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C2D">
        <w:rPr>
          <w:rFonts w:ascii="Times New Roman" w:eastAsia="Calibri" w:hAnsi="Times New Roman" w:cs="Times New Roman"/>
          <w:sz w:val="24"/>
          <w:szCs w:val="24"/>
        </w:rPr>
        <w:t>apie lankytojų teises bei</w:t>
      </w:r>
      <w:r w:rsidR="0003252A">
        <w:rPr>
          <w:rFonts w:ascii="Times New Roman" w:eastAsia="Calibri" w:hAnsi="Times New Roman" w:cs="Times New Roman"/>
          <w:sz w:val="24"/>
          <w:szCs w:val="24"/>
        </w:rPr>
        <w:t xml:space="preserve"> įgalinimą. </w:t>
      </w:r>
    </w:p>
    <w:p w:rsidR="001E48F2" w:rsidRPr="001E48F2" w:rsidRDefault="002F0595" w:rsidP="001E4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Skirtumai tarp vertinimų skirtingose aplinkose yra nežymūs, todėl galima d</w:t>
      </w:r>
      <w:r w:rsidR="00D7207E">
        <w:rPr>
          <w:rFonts w:ascii="Times New Roman" w:hAnsi="Times New Roman" w:cs="Times New Roman"/>
          <w:sz w:val="24"/>
          <w:szCs w:val="24"/>
        </w:rPr>
        <w:t>aryti išvadą, kad lankytojai obje</w:t>
      </w:r>
      <w:r>
        <w:rPr>
          <w:rFonts w:ascii="Times New Roman" w:hAnsi="Times New Roman" w:cs="Times New Roman"/>
          <w:sz w:val="24"/>
          <w:szCs w:val="24"/>
        </w:rPr>
        <w:t>ktyviai įvertino savo įgalinimą.</w:t>
      </w:r>
    </w:p>
    <w:p w:rsidR="001E48F2" w:rsidRPr="001E48F2" w:rsidRDefault="001E48F2" w:rsidP="001E48F2">
      <w:pPr>
        <w:rPr>
          <w:rFonts w:ascii="Times New Roman" w:hAnsi="Times New Roman" w:cs="Times New Roman"/>
          <w:sz w:val="24"/>
          <w:szCs w:val="24"/>
        </w:rPr>
      </w:pPr>
    </w:p>
    <w:p w:rsidR="001E48F2" w:rsidRPr="001E48F2" w:rsidRDefault="001E48F2" w:rsidP="001E48F2">
      <w:pPr>
        <w:rPr>
          <w:rFonts w:ascii="Times New Roman" w:hAnsi="Times New Roman" w:cs="Times New Roman"/>
          <w:sz w:val="24"/>
          <w:szCs w:val="24"/>
        </w:rPr>
      </w:pPr>
    </w:p>
    <w:p w:rsidR="00E8132B" w:rsidRDefault="00E8132B" w:rsidP="00683543">
      <w:pPr>
        <w:tabs>
          <w:tab w:val="left" w:pos="3090"/>
        </w:tabs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EE508C" w:rsidRDefault="00EE508C" w:rsidP="00684D68">
      <w:pPr>
        <w:tabs>
          <w:tab w:val="left" w:pos="3090"/>
        </w:tabs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EE508C" w:rsidRDefault="00EE508C" w:rsidP="00684D68">
      <w:pPr>
        <w:tabs>
          <w:tab w:val="left" w:pos="3090"/>
        </w:tabs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E48F2" w:rsidRPr="00684D68" w:rsidRDefault="001E48F2" w:rsidP="00684D68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Sunkesnę negalią turinčių lankytojų ir jų tėvų įgalinimo vertinimo rezultatai.</w:t>
      </w:r>
    </w:p>
    <w:p w:rsidR="001E48F2" w:rsidRPr="001E48F2" w:rsidRDefault="001E48F2" w:rsidP="001E48F2">
      <w:pPr>
        <w:tabs>
          <w:tab w:val="left" w:pos="4035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495925" cy="3209925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48F2" w:rsidRDefault="00684D68" w:rsidP="0003252A">
      <w:pPr>
        <w:tabs>
          <w:tab w:val="left" w:pos="309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Sunkesnę negalią turinčių lankytojų įgalinimas buvo vertinamas stebėjimo būdu, palyginimui apklausti ir jų tėvai, vertinimo rezultatai pavaizduoti diagramoje.</w:t>
      </w:r>
      <w:r w:rsidR="00DF3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32B">
        <w:rPr>
          <w:rFonts w:ascii="Times New Roman" w:eastAsia="Calibri" w:hAnsi="Times New Roman" w:cs="Times New Roman"/>
          <w:sz w:val="24"/>
          <w:szCs w:val="24"/>
        </w:rPr>
        <w:t xml:space="preserve">Sunkesnę negalią turinčių lankytojų įgalinimas dienos užimtumo centre vertinamas šiek tiek geriau nei vidutiniškai. </w:t>
      </w:r>
      <w:r w:rsidR="000F544B">
        <w:rPr>
          <w:rFonts w:ascii="Times New Roman" w:eastAsia="Calibri" w:hAnsi="Times New Roman" w:cs="Times New Roman"/>
          <w:sz w:val="24"/>
          <w:szCs w:val="24"/>
        </w:rPr>
        <w:t xml:space="preserve">2019 metais planuojama </w:t>
      </w:r>
      <w:r w:rsidR="00E8132B">
        <w:rPr>
          <w:rFonts w:ascii="Times New Roman" w:eastAsia="Calibri" w:hAnsi="Times New Roman" w:cs="Times New Roman"/>
          <w:sz w:val="24"/>
          <w:szCs w:val="24"/>
        </w:rPr>
        <w:t>organizuoti daugiau konkrečių mokymų įgalinimo tema darbuotojams ir lankytoj</w:t>
      </w:r>
      <w:r w:rsidR="000F544B">
        <w:rPr>
          <w:rFonts w:ascii="Times New Roman" w:eastAsia="Calibri" w:hAnsi="Times New Roman" w:cs="Times New Roman"/>
          <w:sz w:val="24"/>
          <w:szCs w:val="24"/>
        </w:rPr>
        <w:t xml:space="preserve">ams, įtraukti lankytojų tėvus bei sustiprinti atstovavimo sritį. </w:t>
      </w:r>
    </w:p>
    <w:p w:rsidR="002F0595" w:rsidRPr="002F0595" w:rsidRDefault="002F0595" w:rsidP="0003252A">
      <w:pPr>
        <w:tabs>
          <w:tab w:val="left" w:pos="309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F0595" w:rsidRPr="002F0595" w:rsidSect="00700035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35"/>
    <w:rsid w:val="0003252A"/>
    <w:rsid w:val="000E0221"/>
    <w:rsid w:val="000F544B"/>
    <w:rsid w:val="001D04A4"/>
    <w:rsid w:val="001E48F2"/>
    <w:rsid w:val="002F0595"/>
    <w:rsid w:val="005E401E"/>
    <w:rsid w:val="0064634F"/>
    <w:rsid w:val="00683543"/>
    <w:rsid w:val="00684D68"/>
    <w:rsid w:val="006F0DBE"/>
    <w:rsid w:val="00700035"/>
    <w:rsid w:val="009D54B6"/>
    <w:rsid w:val="00B05D5B"/>
    <w:rsid w:val="00B21C2D"/>
    <w:rsid w:val="00D7207E"/>
    <w:rsid w:val="00DA5901"/>
    <w:rsid w:val="00DF30E2"/>
    <w:rsid w:val="00E8132B"/>
    <w:rsid w:val="00EE508C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Lankytojai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Teisės ir pareigos</c:v>
                </c:pt>
                <c:pt idx="1">
                  <c:v>Sprendimų priėmimas</c:v>
                </c:pt>
                <c:pt idx="2">
                  <c:v>Bendradarbiavimas/parama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53-41A2-9E6B-F0941F8A49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Tėvai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Teisės ir pareigos</c:v>
                </c:pt>
                <c:pt idx="1">
                  <c:v>Sprendimų priėmimas</c:v>
                </c:pt>
                <c:pt idx="2">
                  <c:v>Bendradarbiavimas/parama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53-41A2-9E6B-F0941F8A4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07648"/>
        <c:axId val="166509184"/>
      </c:barChart>
      <c:catAx>
        <c:axId val="16650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509184"/>
        <c:crosses val="autoZero"/>
        <c:auto val="1"/>
        <c:lblAlgn val="ctr"/>
        <c:lblOffset val="100"/>
        <c:noMultiLvlLbl val="0"/>
      </c:catAx>
      <c:valAx>
        <c:axId val="1665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0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Lankytojai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Emocinė būklė</c:v>
                </c:pt>
                <c:pt idx="1">
                  <c:v>Socializacija</c:v>
                </c:pt>
                <c:pt idx="2">
                  <c:v>Atstovavimas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AF-4F4D-A1F6-C44DAD609D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Tėvai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Emocinė būklė</c:v>
                </c:pt>
                <c:pt idx="1">
                  <c:v>Socializacija</c:v>
                </c:pt>
                <c:pt idx="2">
                  <c:v>Atstovavimas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AF-4F4D-A1F6-C44DAD609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56032"/>
        <c:axId val="166961920"/>
      </c:barChart>
      <c:catAx>
        <c:axId val="16695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961920"/>
        <c:crosses val="autoZero"/>
        <c:auto val="1"/>
        <c:lblAlgn val="ctr"/>
        <c:lblOffset val="100"/>
        <c:noMultiLvlLbl val="0"/>
      </c:catAx>
      <c:valAx>
        <c:axId val="166961920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95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14</cp:revision>
  <dcterms:created xsi:type="dcterms:W3CDTF">2019-01-03T12:42:00Z</dcterms:created>
  <dcterms:modified xsi:type="dcterms:W3CDTF">2019-02-22T11:54:00Z</dcterms:modified>
</cp:coreProperties>
</file>